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eastAsia" w:ascii="仿宋_GB2312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本机构自愿申请接受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仲裁委员会委托开展鉴定、评估等业务，并作如下承诺：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遵守国家法律、法规、规章以及行业管理规定和技术规范执业，加强对本机构及专业人员执业活动的监督和管理；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遵循独立、客观、公正、科学和诚实信用的原则履行职责、规范执业，保证在执业活动中不徇私舞弊、弄虚作假、损害社会公共利益和他人合法权益；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在资质许可的执业范围内从事专业活动。受托事项超出执业范围的，及时向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仲裁委员会说明，保证不超范围执业或转委托；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遵守回避制度。遇有回避情形的，主动向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仲裁委员会申请回避；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严格参照行业标准收取费用，保证不超标准收费；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未经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仲裁委员会同意，不得私自会见案件当事人，不得私自接受当事人提供的材料；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</w:t>
      </w:r>
      <w:r>
        <w:rPr>
          <w:rFonts w:hint="eastAsia" w:ascii="仿宋" w:hAnsi="仿宋" w:eastAsia="仿宋" w:cs="仿宋"/>
          <w:sz w:val="24"/>
          <w:szCs w:val="24"/>
        </w:rPr>
        <w:t>遵守委托工作的期限要求完成受托工作；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</w:t>
      </w:r>
      <w:r>
        <w:rPr>
          <w:rFonts w:hint="eastAsia" w:ascii="仿宋" w:hAnsi="仿宋" w:eastAsia="仿宋" w:cs="仿宋"/>
          <w:sz w:val="24"/>
          <w:szCs w:val="24"/>
        </w:rPr>
        <w:t>妥善保管相关材料，自觉保守在执业活动中知悉的国家机密、商业秘密、审判秘密和当事人隐私；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九、</w:t>
      </w:r>
      <w:r>
        <w:rPr>
          <w:rFonts w:hint="eastAsia" w:ascii="仿宋" w:hAnsi="仿宋" w:eastAsia="仿宋" w:cs="仿宋"/>
          <w:sz w:val="24"/>
          <w:szCs w:val="24"/>
        </w:rPr>
        <w:t>确保本机构鉴定人按规定履行出庭作证义务；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十、</w:t>
      </w:r>
      <w:r>
        <w:rPr>
          <w:rFonts w:hint="eastAsia" w:ascii="仿宋" w:hAnsi="仿宋" w:eastAsia="仿宋" w:cs="仿宋"/>
          <w:sz w:val="24"/>
          <w:szCs w:val="24"/>
        </w:rPr>
        <w:t>及时向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仲裁委员会报告行业主管部门或行业协会对本机构的处罚情况，及时更新机构和人员变更信息，确保机构、人员信息准确真实；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十一、</w:t>
      </w:r>
      <w:r>
        <w:rPr>
          <w:rFonts w:hint="eastAsia" w:ascii="仿宋" w:hAnsi="仿宋" w:eastAsia="仿宋" w:cs="仿宋"/>
          <w:sz w:val="24"/>
          <w:szCs w:val="24"/>
        </w:rPr>
        <w:t>因法定事由不能继续鉴定、评估，需要终止鉴定、评估业务的，应及时向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仲裁委员会说明，经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仲裁委员会同意后终结案件。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十二、</w:t>
      </w:r>
      <w:r>
        <w:rPr>
          <w:rFonts w:hint="eastAsia" w:ascii="仿宋" w:hAnsi="仿宋" w:eastAsia="仿宋" w:cs="仿宋"/>
          <w:sz w:val="24"/>
          <w:szCs w:val="24"/>
        </w:rPr>
        <w:t>有违反上述规定的，本机构自愿接受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宝鸡</w:t>
      </w:r>
      <w:r>
        <w:rPr>
          <w:rFonts w:hint="eastAsia" w:ascii="仿宋" w:hAnsi="仿宋" w:eastAsia="仿宋" w:cs="仿宋"/>
          <w:sz w:val="24"/>
          <w:szCs w:val="24"/>
        </w:rPr>
        <w:t>仲裁委员会按照相关规章制度及《仲裁规则》给予处理。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480" w:hanging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承诺人：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 xml:space="preserve"> （公 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480" w:hanging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日  期：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367E"/>
    <w:rsid w:val="0441367E"/>
    <w:rsid w:val="3AE63920"/>
    <w:rsid w:val="52383CB7"/>
    <w:rsid w:val="72A3013E"/>
    <w:rsid w:val="78066CC9"/>
    <w:rsid w:val="787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2021-11-09T02:01:00Z</dcterms:created>
  <dc:creator>遮雨</dc:creator>
  <cp:lastModifiedBy>Ch</cp:lastModifiedBy>
  <dcterms:modified xsi:type="dcterms:W3CDTF">2021-11-24T01:43:03Z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E913619D0F7F47778DA2A9D6C3F4B868</vt:lpwstr>
  </property>
</Properties>
</file>